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5539F" w14:textId="77777777" w:rsidR="00206316" w:rsidRDefault="00206316" w:rsidP="00206316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Protected Natural and Agricultural Lands in </w:t>
      </w:r>
      <w:r w:rsidR="002304C0">
        <w:rPr>
          <w:sz w:val="28"/>
          <w:szCs w:val="28"/>
        </w:rPr>
        <w:t xml:space="preserve">Montgomery County </w:t>
      </w:r>
    </w:p>
    <w:p w14:paraId="61A5C071" w14:textId="4DEF84ED" w:rsidR="008B51F2" w:rsidRPr="00F857F8" w:rsidRDefault="00357C0A" w:rsidP="00622BF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(as of </w:t>
      </w:r>
      <w:r w:rsidR="006C51BE">
        <w:rPr>
          <w:sz w:val="28"/>
          <w:szCs w:val="28"/>
        </w:rPr>
        <w:t>5</w:t>
      </w:r>
      <w:r>
        <w:rPr>
          <w:sz w:val="28"/>
          <w:szCs w:val="28"/>
        </w:rPr>
        <w:t>/1</w:t>
      </w:r>
      <w:r w:rsidR="006C51BE">
        <w:rPr>
          <w:sz w:val="28"/>
          <w:szCs w:val="28"/>
        </w:rPr>
        <w:t>9</w:t>
      </w:r>
      <w:r>
        <w:rPr>
          <w:sz w:val="28"/>
          <w:szCs w:val="28"/>
        </w:rPr>
        <w:t>)</w:t>
      </w:r>
    </w:p>
    <w:p w14:paraId="2ED4AC68" w14:textId="77777777" w:rsidR="00193338" w:rsidRDefault="00193338" w:rsidP="008B51F2">
      <w:pPr>
        <w:spacing w:after="0" w:line="240" w:lineRule="auto"/>
        <w:rPr>
          <w:sz w:val="24"/>
          <w:szCs w:val="24"/>
        </w:rPr>
      </w:pPr>
    </w:p>
    <w:p w14:paraId="2FE6E733" w14:textId="382BE90F" w:rsidR="0085139C" w:rsidRDefault="00766A24" w:rsidP="008B51F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This map was created to show the </w:t>
      </w:r>
      <w:r w:rsidR="00206316">
        <w:rPr>
          <w:sz w:val="24"/>
          <w:szCs w:val="24"/>
        </w:rPr>
        <w:t xml:space="preserve">natural and agricultural lands </w:t>
      </w:r>
      <w:r>
        <w:rPr>
          <w:sz w:val="24"/>
          <w:szCs w:val="24"/>
        </w:rPr>
        <w:t>in the County that are protected from future development</w:t>
      </w:r>
      <w:r w:rsidR="00357C0A">
        <w:rPr>
          <w:sz w:val="24"/>
          <w:szCs w:val="24"/>
        </w:rPr>
        <w:t xml:space="preserve"> as of </w:t>
      </w:r>
      <w:r w:rsidR="006C51BE">
        <w:rPr>
          <w:sz w:val="24"/>
          <w:szCs w:val="24"/>
        </w:rPr>
        <w:t>May</w:t>
      </w:r>
      <w:r w:rsidR="00357C0A">
        <w:rPr>
          <w:sz w:val="24"/>
          <w:szCs w:val="24"/>
        </w:rPr>
        <w:t xml:space="preserve"> 201</w:t>
      </w:r>
      <w:r w:rsidR="006C51BE">
        <w:rPr>
          <w:sz w:val="24"/>
          <w:szCs w:val="24"/>
        </w:rPr>
        <w:t>9</w:t>
      </w:r>
      <w:r>
        <w:rPr>
          <w:sz w:val="24"/>
          <w:szCs w:val="24"/>
        </w:rPr>
        <w:t>.  These areas include preserved and conserved natural areas</w:t>
      </w:r>
      <w:r w:rsidR="00622BF4">
        <w:rPr>
          <w:sz w:val="24"/>
          <w:szCs w:val="24"/>
        </w:rPr>
        <w:t xml:space="preserve"> and agricultural easements</w:t>
      </w:r>
      <w:r w:rsidR="007551DF">
        <w:rPr>
          <w:sz w:val="24"/>
          <w:szCs w:val="24"/>
        </w:rPr>
        <w:t>,</w:t>
      </w:r>
      <w:r>
        <w:rPr>
          <w:sz w:val="24"/>
          <w:szCs w:val="24"/>
        </w:rPr>
        <w:t xml:space="preserve"> and already developed properties i</w:t>
      </w:r>
      <w:r w:rsidR="00C966C8">
        <w:rPr>
          <w:sz w:val="24"/>
          <w:szCs w:val="24"/>
        </w:rPr>
        <w:t>n agricultural areas</w:t>
      </w:r>
      <w:r>
        <w:rPr>
          <w:sz w:val="24"/>
          <w:szCs w:val="24"/>
        </w:rPr>
        <w:t>.</w:t>
      </w:r>
      <w:r w:rsidR="00357C0A">
        <w:rPr>
          <w:sz w:val="24"/>
          <w:szCs w:val="24"/>
        </w:rPr>
        <w:t xml:space="preserve">  </w:t>
      </w:r>
      <w:r w:rsidR="00B11549">
        <w:rPr>
          <w:sz w:val="24"/>
          <w:szCs w:val="24"/>
        </w:rPr>
        <w:t xml:space="preserve">Developed properties in agricultural areas </w:t>
      </w:r>
      <w:r w:rsidR="00C966C8">
        <w:rPr>
          <w:sz w:val="24"/>
          <w:szCs w:val="24"/>
        </w:rPr>
        <w:t>were</w:t>
      </w:r>
      <w:r w:rsidR="00B11549">
        <w:rPr>
          <w:sz w:val="24"/>
          <w:szCs w:val="24"/>
        </w:rPr>
        <w:t xml:space="preserve"> included in this mapping exercise because they typically </w:t>
      </w:r>
      <w:r w:rsidR="00C966C8">
        <w:rPr>
          <w:sz w:val="24"/>
          <w:szCs w:val="24"/>
        </w:rPr>
        <w:t>retain agricultural land protected during the development review process</w:t>
      </w:r>
      <w:r w:rsidR="009875B5">
        <w:rPr>
          <w:sz w:val="24"/>
          <w:szCs w:val="24"/>
        </w:rPr>
        <w:t xml:space="preserve"> (mostly through subdivision cluster options)</w:t>
      </w:r>
      <w:r w:rsidR="00B11549">
        <w:rPr>
          <w:sz w:val="24"/>
          <w:szCs w:val="24"/>
        </w:rPr>
        <w:t xml:space="preserve">; a fact that is not obvious just looking at aerial photos.  </w:t>
      </w:r>
    </w:p>
    <w:p w14:paraId="48406C10" w14:textId="77777777" w:rsidR="0085139C" w:rsidRDefault="0085139C" w:rsidP="008B51F2">
      <w:pPr>
        <w:spacing w:after="0" w:line="240" w:lineRule="auto"/>
        <w:rPr>
          <w:sz w:val="24"/>
          <w:szCs w:val="24"/>
        </w:rPr>
      </w:pPr>
    </w:p>
    <w:p w14:paraId="6A7E882A" w14:textId="77777777" w:rsidR="00B009A3" w:rsidRDefault="00D63A2D" w:rsidP="008B51F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Remaini</w:t>
      </w:r>
      <w:r w:rsidR="00007F4D">
        <w:rPr>
          <w:sz w:val="24"/>
          <w:szCs w:val="24"/>
        </w:rPr>
        <w:t xml:space="preserve">ng undeveloped </w:t>
      </w:r>
      <w:r>
        <w:rPr>
          <w:sz w:val="24"/>
          <w:szCs w:val="24"/>
        </w:rPr>
        <w:t>lands</w:t>
      </w:r>
      <w:r w:rsidR="007C046A">
        <w:rPr>
          <w:sz w:val="24"/>
          <w:szCs w:val="24"/>
        </w:rPr>
        <w:t xml:space="preserve"> are </w:t>
      </w:r>
      <w:r w:rsidR="00814C79">
        <w:rPr>
          <w:sz w:val="24"/>
          <w:szCs w:val="24"/>
        </w:rPr>
        <w:t>protected as provided</w:t>
      </w:r>
      <w:r>
        <w:rPr>
          <w:sz w:val="24"/>
          <w:szCs w:val="24"/>
        </w:rPr>
        <w:t xml:space="preserve"> by the County’s Environmental Guidelines for Development,</w:t>
      </w:r>
      <w:r w:rsidR="00814C79">
        <w:rPr>
          <w:sz w:val="24"/>
          <w:szCs w:val="24"/>
        </w:rPr>
        <w:t xml:space="preserve"> the forest conservation l</w:t>
      </w:r>
      <w:r>
        <w:rPr>
          <w:sz w:val="24"/>
          <w:szCs w:val="24"/>
        </w:rPr>
        <w:t>aw</w:t>
      </w:r>
      <w:r w:rsidR="00814C7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364FAC">
        <w:rPr>
          <w:sz w:val="24"/>
          <w:szCs w:val="24"/>
        </w:rPr>
        <w:t xml:space="preserve">applicable master plans, </w:t>
      </w:r>
      <w:r>
        <w:rPr>
          <w:sz w:val="24"/>
          <w:szCs w:val="24"/>
        </w:rPr>
        <w:t xml:space="preserve">and the development review process.  </w:t>
      </w:r>
      <w:r w:rsidR="0085139C">
        <w:rPr>
          <w:sz w:val="24"/>
          <w:szCs w:val="24"/>
        </w:rPr>
        <w:t xml:space="preserve">Remaining </w:t>
      </w:r>
      <w:r w:rsidR="00364FAC">
        <w:rPr>
          <w:sz w:val="24"/>
          <w:szCs w:val="24"/>
        </w:rPr>
        <w:t xml:space="preserve">undeveloped </w:t>
      </w:r>
      <w:r w:rsidR="0085139C">
        <w:rPr>
          <w:sz w:val="24"/>
          <w:szCs w:val="24"/>
        </w:rPr>
        <w:t xml:space="preserve">agricultural areas are </w:t>
      </w:r>
      <w:r>
        <w:rPr>
          <w:sz w:val="24"/>
          <w:szCs w:val="24"/>
        </w:rPr>
        <w:t>afforded additional</w:t>
      </w:r>
      <w:r w:rsidR="0085139C">
        <w:rPr>
          <w:sz w:val="24"/>
          <w:szCs w:val="24"/>
        </w:rPr>
        <w:t xml:space="preserve"> protections </w:t>
      </w:r>
      <w:r>
        <w:rPr>
          <w:sz w:val="24"/>
          <w:szCs w:val="24"/>
        </w:rPr>
        <w:t>provided</w:t>
      </w:r>
      <w:r w:rsidR="0085139C">
        <w:rPr>
          <w:sz w:val="24"/>
          <w:szCs w:val="24"/>
        </w:rPr>
        <w:t xml:space="preserve"> by the low-density zoning and other provisions of the </w:t>
      </w:r>
      <w:r>
        <w:rPr>
          <w:sz w:val="24"/>
          <w:szCs w:val="24"/>
        </w:rPr>
        <w:t xml:space="preserve">Preservation of Agriculture and Rural Open Space </w:t>
      </w:r>
      <w:r w:rsidR="0085139C">
        <w:rPr>
          <w:sz w:val="24"/>
          <w:szCs w:val="24"/>
        </w:rPr>
        <w:t xml:space="preserve">Functional Master Plan, the County’s </w:t>
      </w:r>
      <w:r>
        <w:rPr>
          <w:sz w:val="24"/>
          <w:szCs w:val="24"/>
        </w:rPr>
        <w:t xml:space="preserve">Ten-Year Comprehensive Water Supply and Sewerage Systems </w:t>
      </w:r>
      <w:r w:rsidR="0085139C">
        <w:rPr>
          <w:sz w:val="24"/>
          <w:szCs w:val="24"/>
        </w:rPr>
        <w:t xml:space="preserve">Plan, limitations </w:t>
      </w:r>
      <w:r>
        <w:rPr>
          <w:sz w:val="24"/>
          <w:szCs w:val="24"/>
        </w:rPr>
        <w:t>on</w:t>
      </w:r>
      <w:r w:rsidR="0085139C">
        <w:rPr>
          <w:sz w:val="24"/>
          <w:szCs w:val="24"/>
        </w:rPr>
        <w:t xml:space="preserve"> extending public sewer service beyond the current envelope, the County’s Transfer of Development Rights (TDR) and Building Lot Termination (BLT) programs, and the County’s agricultural easement programs</w:t>
      </w:r>
      <w:r w:rsidR="00ED148C">
        <w:rPr>
          <w:sz w:val="24"/>
          <w:szCs w:val="24"/>
        </w:rPr>
        <w:t>.</w:t>
      </w:r>
      <w:r w:rsidR="0085139C">
        <w:rPr>
          <w:sz w:val="24"/>
          <w:szCs w:val="24"/>
        </w:rPr>
        <w:t xml:space="preserve">  </w:t>
      </w:r>
      <w:r w:rsidR="007C046A">
        <w:rPr>
          <w:sz w:val="24"/>
          <w:szCs w:val="24"/>
        </w:rPr>
        <w:t xml:space="preserve">The Department of Parks, through its Park, Recreation and Open Space (PROS) Plan, continues to identify and add lands to the County’s park system.  </w:t>
      </w:r>
      <w:r w:rsidR="00814C79">
        <w:rPr>
          <w:sz w:val="24"/>
          <w:szCs w:val="24"/>
        </w:rPr>
        <w:t xml:space="preserve">As a result, in the future, </w:t>
      </w:r>
      <w:r w:rsidR="00357C0A">
        <w:rPr>
          <w:sz w:val="24"/>
          <w:szCs w:val="24"/>
        </w:rPr>
        <w:t xml:space="preserve">additional natural and agricultural areas will </w:t>
      </w:r>
      <w:r w:rsidR="00304A9E">
        <w:rPr>
          <w:sz w:val="24"/>
          <w:szCs w:val="24"/>
        </w:rPr>
        <w:t xml:space="preserve">be excluded from </w:t>
      </w:r>
      <w:r w:rsidR="00814C79">
        <w:rPr>
          <w:sz w:val="24"/>
          <w:szCs w:val="24"/>
        </w:rPr>
        <w:t>new</w:t>
      </w:r>
      <w:r w:rsidR="00304A9E">
        <w:rPr>
          <w:sz w:val="24"/>
          <w:szCs w:val="24"/>
        </w:rPr>
        <w:t xml:space="preserve"> development by the </w:t>
      </w:r>
      <w:r w:rsidR="00357C0A">
        <w:rPr>
          <w:sz w:val="24"/>
          <w:szCs w:val="24"/>
        </w:rPr>
        <w:t>protect</w:t>
      </w:r>
      <w:r w:rsidR="00304A9E">
        <w:rPr>
          <w:sz w:val="24"/>
          <w:szCs w:val="24"/>
        </w:rPr>
        <w:t>i</w:t>
      </w:r>
      <w:r w:rsidR="00814C79">
        <w:rPr>
          <w:sz w:val="24"/>
          <w:szCs w:val="24"/>
        </w:rPr>
        <w:t>ve measures</w:t>
      </w:r>
      <w:r w:rsidR="00304A9E">
        <w:rPr>
          <w:sz w:val="24"/>
          <w:szCs w:val="24"/>
        </w:rPr>
        <w:t xml:space="preserve"> provided by</w:t>
      </w:r>
      <w:r w:rsidR="00357C0A">
        <w:rPr>
          <w:sz w:val="24"/>
          <w:szCs w:val="24"/>
        </w:rPr>
        <w:t xml:space="preserve"> </w:t>
      </w:r>
      <w:r w:rsidR="0085139C">
        <w:rPr>
          <w:sz w:val="24"/>
          <w:szCs w:val="24"/>
        </w:rPr>
        <w:t>the</w:t>
      </w:r>
      <w:r>
        <w:rPr>
          <w:sz w:val="24"/>
          <w:szCs w:val="24"/>
        </w:rPr>
        <w:t xml:space="preserve"> County’s </w:t>
      </w:r>
      <w:r w:rsidR="0085139C">
        <w:rPr>
          <w:sz w:val="24"/>
          <w:szCs w:val="24"/>
        </w:rPr>
        <w:t>various</w:t>
      </w:r>
      <w:r>
        <w:rPr>
          <w:sz w:val="24"/>
          <w:szCs w:val="24"/>
        </w:rPr>
        <w:t xml:space="preserve"> regulatory,</w:t>
      </w:r>
      <w:r w:rsidR="00357C0A">
        <w:rPr>
          <w:sz w:val="24"/>
          <w:szCs w:val="24"/>
        </w:rPr>
        <w:t xml:space="preserve"> planning</w:t>
      </w:r>
      <w:r>
        <w:rPr>
          <w:sz w:val="24"/>
          <w:szCs w:val="24"/>
        </w:rPr>
        <w:t>,</w:t>
      </w:r>
      <w:r w:rsidR="00357C0A">
        <w:rPr>
          <w:sz w:val="24"/>
          <w:szCs w:val="24"/>
        </w:rPr>
        <w:t xml:space="preserve"> </w:t>
      </w:r>
      <w:r w:rsidR="0085139C">
        <w:rPr>
          <w:sz w:val="24"/>
          <w:szCs w:val="24"/>
        </w:rPr>
        <w:t xml:space="preserve">and programmatic </w:t>
      </w:r>
      <w:r w:rsidR="00357C0A">
        <w:rPr>
          <w:sz w:val="24"/>
          <w:szCs w:val="24"/>
        </w:rPr>
        <w:t>processes.</w:t>
      </w:r>
      <w:r w:rsidR="00120201">
        <w:rPr>
          <w:sz w:val="24"/>
          <w:szCs w:val="24"/>
        </w:rPr>
        <w:t xml:space="preserve">  </w:t>
      </w:r>
      <w:r w:rsidR="00796335">
        <w:rPr>
          <w:sz w:val="24"/>
          <w:szCs w:val="24"/>
        </w:rPr>
        <w:t>This map can be periodically updated to add lands that come under protection in the future.</w:t>
      </w:r>
    </w:p>
    <w:p w14:paraId="133A91BF" w14:textId="77777777" w:rsidR="00766A24" w:rsidRDefault="00766A24" w:rsidP="008B51F2">
      <w:pPr>
        <w:spacing w:after="0" w:line="240" w:lineRule="auto"/>
        <w:rPr>
          <w:sz w:val="24"/>
          <w:szCs w:val="24"/>
        </w:rPr>
      </w:pPr>
    </w:p>
    <w:p w14:paraId="48F601BC" w14:textId="77777777" w:rsidR="003507E4" w:rsidRPr="003507E4" w:rsidRDefault="003507E4" w:rsidP="003507E4">
      <w:pPr>
        <w:pStyle w:val="ListParagraph"/>
        <w:numPr>
          <w:ilvl w:val="0"/>
          <w:numId w:val="5"/>
        </w:numPr>
        <w:spacing w:after="0" w:line="240" w:lineRule="auto"/>
        <w:ind w:left="540"/>
        <w:rPr>
          <w:b/>
          <w:sz w:val="24"/>
          <w:szCs w:val="24"/>
        </w:rPr>
      </w:pPr>
      <w:r w:rsidRPr="003507E4">
        <w:rPr>
          <w:b/>
          <w:sz w:val="24"/>
          <w:szCs w:val="24"/>
        </w:rPr>
        <w:t xml:space="preserve">Preserved and Conserved </w:t>
      </w:r>
      <w:r w:rsidR="008102CC">
        <w:rPr>
          <w:b/>
          <w:sz w:val="24"/>
          <w:szCs w:val="24"/>
        </w:rPr>
        <w:t xml:space="preserve">Natural </w:t>
      </w:r>
      <w:r w:rsidR="00500979">
        <w:rPr>
          <w:b/>
          <w:sz w:val="24"/>
          <w:szCs w:val="24"/>
        </w:rPr>
        <w:t xml:space="preserve">Areas </w:t>
      </w:r>
      <w:r w:rsidR="008102CC">
        <w:rPr>
          <w:b/>
          <w:sz w:val="24"/>
          <w:szCs w:val="24"/>
        </w:rPr>
        <w:t xml:space="preserve">and Agricultural </w:t>
      </w:r>
      <w:r w:rsidR="004B3E57">
        <w:rPr>
          <w:b/>
          <w:sz w:val="24"/>
          <w:szCs w:val="24"/>
        </w:rPr>
        <w:t>Easements</w:t>
      </w:r>
    </w:p>
    <w:p w14:paraId="20AD6FBA" w14:textId="77777777" w:rsidR="003507E4" w:rsidRDefault="003507E4" w:rsidP="008B51F2">
      <w:pPr>
        <w:spacing w:after="0" w:line="240" w:lineRule="auto"/>
        <w:rPr>
          <w:sz w:val="24"/>
          <w:szCs w:val="24"/>
        </w:rPr>
      </w:pPr>
    </w:p>
    <w:p w14:paraId="38A3F1A9" w14:textId="77777777" w:rsidR="008B51F2" w:rsidRPr="00422006" w:rsidRDefault="008B51F2" w:rsidP="00B009A3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422006">
        <w:rPr>
          <w:sz w:val="24"/>
          <w:szCs w:val="24"/>
        </w:rPr>
        <w:t xml:space="preserve">Green Infrastructure Map </w:t>
      </w:r>
      <w:r w:rsidR="00DF5B51" w:rsidRPr="00422006">
        <w:rPr>
          <w:sz w:val="24"/>
          <w:szCs w:val="24"/>
        </w:rPr>
        <w:t>“</w:t>
      </w:r>
      <w:r w:rsidRPr="00422006">
        <w:rPr>
          <w:sz w:val="24"/>
          <w:szCs w:val="24"/>
        </w:rPr>
        <w:t>Regulated</w:t>
      </w:r>
      <w:r w:rsidR="00DF5B51" w:rsidRPr="00422006">
        <w:rPr>
          <w:sz w:val="24"/>
          <w:szCs w:val="24"/>
        </w:rPr>
        <w:t>”</w:t>
      </w:r>
      <w:r w:rsidRPr="00422006">
        <w:rPr>
          <w:sz w:val="24"/>
          <w:szCs w:val="24"/>
        </w:rPr>
        <w:t xml:space="preserve"> Areas</w:t>
      </w:r>
    </w:p>
    <w:p w14:paraId="047AB7FD" w14:textId="77777777" w:rsidR="00DF5B51" w:rsidRDefault="00DF5B51" w:rsidP="00DF5B51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(Areas that meet the definition for inclusion as </w:t>
      </w:r>
      <w:r w:rsidR="003F1138">
        <w:rPr>
          <w:sz w:val="24"/>
          <w:szCs w:val="24"/>
        </w:rPr>
        <w:t>“</w:t>
      </w:r>
      <w:r w:rsidR="00422006">
        <w:rPr>
          <w:sz w:val="24"/>
          <w:szCs w:val="24"/>
        </w:rPr>
        <w:t>R</w:t>
      </w:r>
      <w:r>
        <w:rPr>
          <w:sz w:val="24"/>
          <w:szCs w:val="24"/>
        </w:rPr>
        <w:t>egulated</w:t>
      </w:r>
      <w:r w:rsidR="003F1138">
        <w:rPr>
          <w:sz w:val="24"/>
          <w:szCs w:val="24"/>
        </w:rPr>
        <w:t>”</w:t>
      </w:r>
      <w:r>
        <w:rPr>
          <w:sz w:val="24"/>
          <w:szCs w:val="24"/>
        </w:rPr>
        <w:t xml:space="preserve"> </w:t>
      </w:r>
      <w:r w:rsidR="00422006">
        <w:rPr>
          <w:sz w:val="24"/>
          <w:szCs w:val="24"/>
        </w:rPr>
        <w:t>A</w:t>
      </w:r>
      <w:r>
        <w:rPr>
          <w:sz w:val="24"/>
          <w:szCs w:val="24"/>
        </w:rPr>
        <w:t xml:space="preserve">reas </w:t>
      </w:r>
      <w:r w:rsidR="00422006">
        <w:rPr>
          <w:sz w:val="24"/>
          <w:szCs w:val="24"/>
        </w:rPr>
        <w:t>in the County’s green infrastructure map.)</w:t>
      </w:r>
    </w:p>
    <w:p w14:paraId="72F12559" w14:textId="77777777" w:rsidR="00422006" w:rsidRPr="00DF5B51" w:rsidRDefault="00422006" w:rsidP="00DF5B51">
      <w:pPr>
        <w:spacing w:after="0" w:line="240" w:lineRule="auto"/>
        <w:ind w:left="720"/>
        <w:rPr>
          <w:sz w:val="24"/>
          <w:szCs w:val="24"/>
        </w:rPr>
      </w:pPr>
    </w:p>
    <w:p w14:paraId="2832A944" w14:textId="77777777" w:rsidR="00422006" w:rsidRPr="00422006" w:rsidRDefault="00422006" w:rsidP="00422006">
      <w:pPr>
        <w:spacing w:after="0" w:line="240" w:lineRule="auto"/>
        <w:ind w:left="720"/>
        <w:rPr>
          <w:sz w:val="24"/>
          <w:szCs w:val="24"/>
        </w:rPr>
      </w:pPr>
      <w:r w:rsidRPr="00422006">
        <w:rPr>
          <w:sz w:val="24"/>
          <w:szCs w:val="24"/>
        </w:rPr>
        <w:t xml:space="preserve">“Regulated” Areas include environmentally sensitive features and their buffers, such as streams, wetlands (where mapped in GIS) and 100-year floodplains, that are protected during the land development process by laws, guidelines or regulations, and meet minimum criteria for inclusion in the </w:t>
      </w:r>
      <w:r>
        <w:rPr>
          <w:sz w:val="24"/>
          <w:szCs w:val="24"/>
        </w:rPr>
        <w:t xml:space="preserve">green infrastructure </w:t>
      </w:r>
      <w:r w:rsidRPr="00422006">
        <w:rPr>
          <w:sz w:val="24"/>
          <w:szCs w:val="24"/>
        </w:rPr>
        <w:t xml:space="preserve">network.  In “Regulated” Areas, preservation is the principal focus and development is not generally permitted, except for necessary construction of road crossings and installation of public utilities.  </w:t>
      </w:r>
    </w:p>
    <w:p w14:paraId="3A9458C4" w14:textId="77777777" w:rsidR="00422006" w:rsidRPr="00422006" w:rsidRDefault="00422006" w:rsidP="00422006">
      <w:pPr>
        <w:spacing w:after="0" w:line="240" w:lineRule="auto"/>
        <w:ind w:left="720"/>
        <w:rPr>
          <w:sz w:val="24"/>
          <w:szCs w:val="24"/>
        </w:rPr>
      </w:pPr>
    </w:p>
    <w:p w14:paraId="681E207B" w14:textId="77777777" w:rsidR="00422006" w:rsidRPr="00422006" w:rsidRDefault="00422006" w:rsidP="00422006">
      <w:pPr>
        <w:spacing w:after="0" w:line="240" w:lineRule="auto"/>
        <w:ind w:left="720"/>
        <w:rPr>
          <w:sz w:val="24"/>
          <w:szCs w:val="24"/>
        </w:rPr>
      </w:pPr>
      <w:r w:rsidRPr="00422006">
        <w:rPr>
          <w:sz w:val="24"/>
          <w:szCs w:val="24"/>
        </w:rPr>
        <w:t xml:space="preserve">Quotation marks in the “Regulated” Area category designation are used to indicate that these areas are only rough approximations of the areas that are regulated at a site-scale in the development review process.  One reason for this approximation is that the network map is based on county-scale GIS data, which are less accurate than site-specific data.  Because of this estimation, the Green Infrastructure Network Map is not a </w:t>
      </w:r>
      <w:r w:rsidRPr="00422006">
        <w:rPr>
          <w:sz w:val="24"/>
          <w:szCs w:val="24"/>
        </w:rPr>
        <w:lastRenderedPageBreak/>
        <w:t xml:space="preserve">substitute for site-specific evaluations of natural resources, including those required for development review, and should always be used together with </w:t>
      </w:r>
      <w:r>
        <w:rPr>
          <w:sz w:val="24"/>
          <w:szCs w:val="24"/>
        </w:rPr>
        <w:t xml:space="preserve">detailed </w:t>
      </w:r>
      <w:r w:rsidRPr="00422006">
        <w:rPr>
          <w:sz w:val="24"/>
          <w:szCs w:val="24"/>
        </w:rPr>
        <w:t xml:space="preserve">field-verified data.  </w:t>
      </w:r>
    </w:p>
    <w:p w14:paraId="66D1013F" w14:textId="77777777" w:rsidR="008B51F2" w:rsidRDefault="008B51F2" w:rsidP="00422006">
      <w:pPr>
        <w:spacing w:after="0" w:line="240" w:lineRule="auto"/>
        <w:ind w:left="720"/>
        <w:rPr>
          <w:sz w:val="24"/>
          <w:szCs w:val="24"/>
        </w:rPr>
      </w:pPr>
    </w:p>
    <w:p w14:paraId="7B29C3AC" w14:textId="54DAA242" w:rsidR="008B51F2" w:rsidRPr="00645DFD" w:rsidRDefault="008B51F2" w:rsidP="00760262">
      <w:pPr>
        <w:spacing w:after="0" w:line="240" w:lineRule="auto"/>
        <w:ind w:left="360"/>
        <w:rPr>
          <w:sz w:val="24"/>
          <w:szCs w:val="24"/>
          <w:u w:val="single"/>
        </w:rPr>
      </w:pPr>
      <w:r w:rsidRPr="00645DFD">
        <w:rPr>
          <w:sz w:val="24"/>
          <w:szCs w:val="24"/>
          <w:u w:val="single"/>
        </w:rPr>
        <w:t xml:space="preserve">All </w:t>
      </w:r>
      <w:r w:rsidR="00645DFD" w:rsidRPr="00645DFD">
        <w:rPr>
          <w:sz w:val="24"/>
          <w:szCs w:val="24"/>
          <w:u w:val="single"/>
        </w:rPr>
        <w:t xml:space="preserve">the following </w:t>
      </w:r>
      <w:r w:rsidR="00796335">
        <w:rPr>
          <w:sz w:val="24"/>
          <w:szCs w:val="24"/>
          <w:u w:val="single"/>
        </w:rPr>
        <w:t>(some of which may overlap with areas mapped under</w:t>
      </w:r>
      <w:r w:rsidR="00645DFD" w:rsidRPr="00645DFD">
        <w:rPr>
          <w:sz w:val="24"/>
          <w:szCs w:val="24"/>
          <w:u w:val="single"/>
        </w:rPr>
        <w:t xml:space="preserve"> </w:t>
      </w:r>
      <w:r w:rsidR="00C14C96">
        <w:rPr>
          <w:sz w:val="24"/>
          <w:szCs w:val="24"/>
          <w:u w:val="single"/>
        </w:rPr>
        <w:t>1</w:t>
      </w:r>
      <w:r w:rsidR="006C51BE">
        <w:rPr>
          <w:sz w:val="24"/>
          <w:szCs w:val="24"/>
          <w:u w:val="single"/>
        </w:rPr>
        <w:t xml:space="preserve"> above, or with each other</w:t>
      </w:r>
      <w:r w:rsidR="00796335">
        <w:rPr>
          <w:sz w:val="24"/>
          <w:szCs w:val="24"/>
          <w:u w:val="single"/>
        </w:rPr>
        <w:t>)</w:t>
      </w:r>
      <w:r w:rsidR="00B009A3">
        <w:rPr>
          <w:sz w:val="24"/>
          <w:szCs w:val="24"/>
          <w:u w:val="single"/>
        </w:rPr>
        <w:t>.</w:t>
      </w:r>
    </w:p>
    <w:p w14:paraId="0C448C02" w14:textId="77777777" w:rsidR="00645DFD" w:rsidRDefault="00645DFD" w:rsidP="008B51F2">
      <w:pPr>
        <w:spacing w:after="0" w:line="240" w:lineRule="auto"/>
        <w:rPr>
          <w:sz w:val="24"/>
          <w:szCs w:val="24"/>
        </w:rPr>
      </w:pPr>
    </w:p>
    <w:p w14:paraId="3CBBD935" w14:textId="77777777" w:rsidR="008B51F2" w:rsidRPr="005A344D" w:rsidRDefault="00645DFD" w:rsidP="005A344D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5A344D">
        <w:rPr>
          <w:sz w:val="24"/>
          <w:szCs w:val="24"/>
        </w:rPr>
        <w:t xml:space="preserve">Federal </w:t>
      </w:r>
      <w:r w:rsidR="008B51F2" w:rsidRPr="005A344D">
        <w:rPr>
          <w:sz w:val="24"/>
          <w:szCs w:val="24"/>
        </w:rPr>
        <w:t xml:space="preserve">Parkland </w:t>
      </w:r>
      <w:r w:rsidR="00284EB4">
        <w:rPr>
          <w:sz w:val="24"/>
          <w:szCs w:val="24"/>
        </w:rPr>
        <w:t>(and other Federal land)</w:t>
      </w:r>
    </w:p>
    <w:p w14:paraId="0D888DBD" w14:textId="77777777" w:rsidR="00645DFD" w:rsidRPr="005A344D" w:rsidRDefault="00645DFD" w:rsidP="005A344D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5A344D">
        <w:rPr>
          <w:sz w:val="24"/>
          <w:szCs w:val="24"/>
        </w:rPr>
        <w:t>State Parkland</w:t>
      </w:r>
      <w:r w:rsidR="00284EB4">
        <w:rPr>
          <w:sz w:val="24"/>
          <w:szCs w:val="24"/>
        </w:rPr>
        <w:t xml:space="preserve"> (and other State land)</w:t>
      </w:r>
    </w:p>
    <w:p w14:paraId="4AB24A13" w14:textId="77777777" w:rsidR="0029558D" w:rsidRDefault="00645DFD" w:rsidP="005A344D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5A344D">
        <w:rPr>
          <w:sz w:val="24"/>
          <w:szCs w:val="24"/>
        </w:rPr>
        <w:t xml:space="preserve">M-NCPPC Parkland </w:t>
      </w:r>
      <w:r w:rsidR="00284EB4">
        <w:rPr>
          <w:sz w:val="24"/>
          <w:szCs w:val="24"/>
        </w:rPr>
        <w:t>(Existing and Proposed)</w:t>
      </w:r>
      <w:r w:rsidR="0029558D">
        <w:rPr>
          <w:sz w:val="24"/>
          <w:szCs w:val="24"/>
        </w:rPr>
        <w:t xml:space="preserve"> </w:t>
      </w:r>
    </w:p>
    <w:p w14:paraId="34D0A082" w14:textId="77777777" w:rsidR="0058389B" w:rsidRDefault="0058389B" w:rsidP="0058389B">
      <w:pPr>
        <w:pStyle w:val="ListParagraph"/>
        <w:numPr>
          <w:ilvl w:val="0"/>
          <w:numId w:val="1"/>
        </w:numPr>
        <w:spacing w:after="0" w:line="240" w:lineRule="auto"/>
        <w:ind w:left="1350"/>
        <w:rPr>
          <w:sz w:val="24"/>
          <w:szCs w:val="24"/>
        </w:rPr>
      </w:pPr>
      <w:r>
        <w:rPr>
          <w:sz w:val="24"/>
          <w:szCs w:val="24"/>
        </w:rPr>
        <w:t>Best Natural Areas</w:t>
      </w:r>
    </w:p>
    <w:p w14:paraId="42AA5A64" w14:textId="77777777" w:rsidR="0058389B" w:rsidRDefault="0058389B" w:rsidP="0058389B">
      <w:pPr>
        <w:pStyle w:val="ListParagraph"/>
        <w:numPr>
          <w:ilvl w:val="0"/>
          <w:numId w:val="1"/>
        </w:numPr>
        <w:spacing w:after="0" w:line="240" w:lineRule="auto"/>
        <w:ind w:left="1350"/>
        <w:rPr>
          <w:sz w:val="24"/>
          <w:szCs w:val="24"/>
        </w:rPr>
      </w:pPr>
      <w:r>
        <w:rPr>
          <w:sz w:val="24"/>
          <w:szCs w:val="24"/>
        </w:rPr>
        <w:t>Biodiversity Areas</w:t>
      </w:r>
    </w:p>
    <w:p w14:paraId="1C5A8CE4" w14:textId="77777777" w:rsidR="0058389B" w:rsidRDefault="0058389B" w:rsidP="0058389B">
      <w:pPr>
        <w:pStyle w:val="ListParagraph"/>
        <w:numPr>
          <w:ilvl w:val="0"/>
          <w:numId w:val="1"/>
        </w:numPr>
        <w:spacing w:after="0" w:line="240" w:lineRule="auto"/>
        <w:ind w:left="1350"/>
        <w:rPr>
          <w:sz w:val="24"/>
          <w:szCs w:val="24"/>
        </w:rPr>
      </w:pPr>
      <w:r>
        <w:rPr>
          <w:sz w:val="24"/>
          <w:szCs w:val="24"/>
        </w:rPr>
        <w:t>Stream Valley Parks</w:t>
      </w:r>
    </w:p>
    <w:p w14:paraId="58DBC325" w14:textId="77777777" w:rsidR="0058389B" w:rsidRDefault="0058389B" w:rsidP="0058389B">
      <w:pPr>
        <w:pStyle w:val="ListParagraph"/>
        <w:numPr>
          <w:ilvl w:val="0"/>
          <w:numId w:val="1"/>
        </w:numPr>
        <w:spacing w:after="0" w:line="240" w:lineRule="auto"/>
        <w:ind w:left="1350"/>
        <w:rPr>
          <w:sz w:val="24"/>
          <w:szCs w:val="24"/>
        </w:rPr>
      </w:pPr>
      <w:r>
        <w:rPr>
          <w:sz w:val="24"/>
          <w:szCs w:val="24"/>
        </w:rPr>
        <w:t>Neighborhood Conservation Parks</w:t>
      </w:r>
    </w:p>
    <w:p w14:paraId="01DA44C0" w14:textId="77777777" w:rsidR="00126FBD" w:rsidRDefault="0058389B" w:rsidP="0058389B">
      <w:pPr>
        <w:pStyle w:val="ListParagraph"/>
        <w:numPr>
          <w:ilvl w:val="0"/>
          <w:numId w:val="1"/>
        </w:numPr>
        <w:spacing w:after="0" w:line="240" w:lineRule="auto"/>
        <w:ind w:left="1350"/>
        <w:rPr>
          <w:sz w:val="24"/>
          <w:szCs w:val="24"/>
        </w:rPr>
      </w:pPr>
      <w:r>
        <w:rPr>
          <w:sz w:val="24"/>
          <w:szCs w:val="24"/>
        </w:rPr>
        <w:t xml:space="preserve">Managed Open Natural Areas within these Parks, such as meadows </w:t>
      </w:r>
    </w:p>
    <w:p w14:paraId="2D8C3937" w14:textId="77777777" w:rsidR="00156E23" w:rsidRDefault="0058389B" w:rsidP="0058389B">
      <w:pPr>
        <w:pStyle w:val="ListParagraph"/>
        <w:numPr>
          <w:ilvl w:val="0"/>
          <w:numId w:val="1"/>
        </w:numPr>
        <w:spacing w:after="0" w:line="240" w:lineRule="auto"/>
        <w:ind w:left="1350"/>
        <w:rPr>
          <w:sz w:val="24"/>
          <w:szCs w:val="24"/>
        </w:rPr>
      </w:pPr>
      <w:r>
        <w:rPr>
          <w:sz w:val="24"/>
          <w:szCs w:val="24"/>
        </w:rPr>
        <w:t>Other M-NCPPC Parkland</w:t>
      </w:r>
      <w:r w:rsidR="00156E23">
        <w:rPr>
          <w:sz w:val="24"/>
          <w:szCs w:val="24"/>
        </w:rPr>
        <w:t xml:space="preserve"> </w:t>
      </w:r>
    </w:p>
    <w:p w14:paraId="777BC70D" w14:textId="77777777" w:rsidR="0058389B" w:rsidRPr="0058389B" w:rsidRDefault="00156E23" w:rsidP="00156E23">
      <w:pPr>
        <w:pStyle w:val="ListParagraph"/>
        <w:spacing w:after="0" w:line="240" w:lineRule="auto"/>
        <w:ind w:left="1350"/>
        <w:rPr>
          <w:sz w:val="24"/>
          <w:szCs w:val="24"/>
        </w:rPr>
      </w:pPr>
      <w:r>
        <w:rPr>
          <w:sz w:val="24"/>
          <w:szCs w:val="24"/>
        </w:rPr>
        <w:t>(Some of this parkland may have some future additional recreational facilities added, but no residential, commercial, or industrial development, regardless of the underlying zoning.)</w:t>
      </w:r>
    </w:p>
    <w:p w14:paraId="629026EC" w14:textId="77777777" w:rsidR="0029558D" w:rsidRDefault="008B51F2" w:rsidP="005A344D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5A344D">
        <w:rPr>
          <w:sz w:val="24"/>
          <w:szCs w:val="24"/>
        </w:rPr>
        <w:t xml:space="preserve">Category 1 </w:t>
      </w:r>
      <w:r w:rsidR="00645DFD" w:rsidRPr="005A344D">
        <w:rPr>
          <w:sz w:val="24"/>
          <w:szCs w:val="24"/>
        </w:rPr>
        <w:t xml:space="preserve">Forest Conservation </w:t>
      </w:r>
      <w:r w:rsidRPr="005A344D">
        <w:rPr>
          <w:sz w:val="24"/>
          <w:szCs w:val="24"/>
        </w:rPr>
        <w:t>Easements</w:t>
      </w:r>
      <w:r w:rsidR="005A344D">
        <w:rPr>
          <w:sz w:val="24"/>
          <w:szCs w:val="24"/>
        </w:rPr>
        <w:t xml:space="preserve"> including:</w:t>
      </w:r>
      <w:r w:rsidR="0029558D">
        <w:rPr>
          <w:sz w:val="24"/>
          <w:szCs w:val="24"/>
        </w:rPr>
        <w:t xml:space="preserve"> </w:t>
      </w:r>
    </w:p>
    <w:p w14:paraId="4F320679" w14:textId="77777777" w:rsidR="00645DFD" w:rsidRDefault="00645DFD" w:rsidP="005A344D">
      <w:pPr>
        <w:pStyle w:val="ListParagraph"/>
        <w:numPr>
          <w:ilvl w:val="0"/>
          <w:numId w:val="2"/>
        </w:numPr>
        <w:spacing w:after="0" w:line="240" w:lineRule="auto"/>
        <w:ind w:left="1350"/>
        <w:rPr>
          <w:sz w:val="24"/>
          <w:szCs w:val="24"/>
        </w:rPr>
      </w:pPr>
      <w:r>
        <w:rPr>
          <w:sz w:val="24"/>
          <w:szCs w:val="24"/>
        </w:rPr>
        <w:t>Category 1</w:t>
      </w:r>
    </w:p>
    <w:p w14:paraId="4D2F2886" w14:textId="77777777" w:rsidR="00645DFD" w:rsidRDefault="00645DFD" w:rsidP="005A344D">
      <w:pPr>
        <w:pStyle w:val="ListParagraph"/>
        <w:numPr>
          <w:ilvl w:val="0"/>
          <w:numId w:val="2"/>
        </w:numPr>
        <w:spacing w:after="0" w:line="240" w:lineRule="auto"/>
        <w:ind w:left="1350"/>
        <w:rPr>
          <w:sz w:val="24"/>
          <w:szCs w:val="24"/>
        </w:rPr>
      </w:pPr>
      <w:r>
        <w:rPr>
          <w:sz w:val="24"/>
          <w:szCs w:val="24"/>
        </w:rPr>
        <w:t>Offsite (Category 1)</w:t>
      </w:r>
    </w:p>
    <w:p w14:paraId="25326AFB" w14:textId="77777777" w:rsidR="008B51F2" w:rsidRPr="00645DFD" w:rsidRDefault="00645DFD" w:rsidP="005A344D">
      <w:pPr>
        <w:pStyle w:val="ListParagraph"/>
        <w:numPr>
          <w:ilvl w:val="0"/>
          <w:numId w:val="2"/>
        </w:numPr>
        <w:spacing w:after="0" w:line="240" w:lineRule="auto"/>
        <w:ind w:left="1350"/>
        <w:rPr>
          <w:sz w:val="24"/>
          <w:szCs w:val="24"/>
        </w:rPr>
      </w:pPr>
      <w:r>
        <w:rPr>
          <w:sz w:val="24"/>
          <w:szCs w:val="24"/>
        </w:rPr>
        <w:t>Bank (Category 1)</w:t>
      </w:r>
    </w:p>
    <w:p w14:paraId="1A3EF1E8" w14:textId="00AC8747" w:rsidR="00156E23" w:rsidRPr="00B009A3" w:rsidRDefault="008B51F2" w:rsidP="00B009A3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5A344D">
        <w:rPr>
          <w:sz w:val="24"/>
          <w:szCs w:val="24"/>
        </w:rPr>
        <w:t>100-Year floodplains</w:t>
      </w:r>
      <w:r w:rsidR="0029558D">
        <w:rPr>
          <w:sz w:val="24"/>
          <w:szCs w:val="24"/>
        </w:rPr>
        <w:t xml:space="preserve"> </w:t>
      </w:r>
      <w:r w:rsidR="00400A2E">
        <w:rPr>
          <w:sz w:val="24"/>
          <w:szCs w:val="24"/>
        </w:rPr>
        <w:t>(</w:t>
      </w:r>
      <w:r w:rsidR="00733432">
        <w:rPr>
          <w:sz w:val="24"/>
          <w:szCs w:val="24"/>
        </w:rPr>
        <w:t>to cover residual</w:t>
      </w:r>
      <w:r w:rsidR="00400A2E">
        <w:rPr>
          <w:sz w:val="24"/>
          <w:szCs w:val="24"/>
        </w:rPr>
        <w:t xml:space="preserve"> 100-Year floodplain</w:t>
      </w:r>
      <w:r w:rsidR="00A813DA">
        <w:rPr>
          <w:sz w:val="24"/>
          <w:szCs w:val="24"/>
        </w:rPr>
        <w:t xml:space="preserve"> areas</w:t>
      </w:r>
      <w:r w:rsidR="00400A2E">
        <w:rPr>
          <w:sz w:val="24"/>
          <w:szCs w:val="24"/>
        </w:rPr>
        <w:t xml:space="preserve"> </w:t>
      </w:r>
      <w:r w:rsidR="00733432">
        <w:rPr>
          <w:sz w:val="24"/>
          <w:szCs w:val="24"/>
        </w:rPr>
        <w:t xml:space="preserve">not </w:t>
      </w:r>
      <w:r w:rsidR="00400A2E">
        <w:rPr>
          <w:sz w:val="24"/>
          <w:szCs w:val="24"/>
        </w:rPr>
        <w:t>included in 1 above)</w:t>
      </w:r>
    </w:p>
    <w:p w14:paraId="7BD31922" w14:textId="04B8A205" w:rsidR="008B51F2" w:rsidRPr="005A344D" w:rsidRDefault="008B51F2" w:rsidP="005A344D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5A344D">
        <w:rPr>
          <w:sz w:val="24"/>
          <w:szCs w:val="24"/>
        </w:rPr>
        <w:t>Wetlands</w:t>
      </w:r>
      <w:r w:rsidR="0014169F">
        <w:rPr>
          <w:sz w:val="24"/>
          <w:szCs w:val="24"/>
        </w:rPr>
        <w:t xml:space="preserve"> (includes mapped wetlands in GIS, not a complete layer)</w:t>
      </w:r>
      <w:bookmarkStart w:id="0" w:name="_GoBack"/>
      <w:bookmarkEnd w:id="0"/>
    </w:p>
    <w:p w14:paraId="6C7834F8" w14:textId="77777777" w:rsidR="008B51F2" w:rsidRDefault="003B1441" w:rsidP="005A344D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5A344D">
        <w:rPr>
          <w:sz w:val="24"/>
          <w:szCs w:val="24"/>
        </w:rPr>
        <w:t>WSSC Lands (</w:t>
      </w:r>
      <w:r w:rsidR="00F1779D" w:rsidRPr="005A344D">
        <w:rPr>
          <w:sz w:val="24"/>
          <w:szCs w:val="24"/>
        </w:rPr>
        <w:t xml:space="preserve">used </w:t>
      </w:r>
      <w:r w:rsidRPr="005A344D">
        <w:rPr>
          <w:sz w:val="24"/>
          <w:szCs w:val="24"/>
        </w:rPr>
        <w:t>for source water protection)</w:t>
      </w:r>
      <w:r w:rsidR="00F1779D" w:rsidRPr="005A344D">
        <w:rPr>
          <w:sz w:val="24"/>
          <w:szCs w:val="24"/>
        </w:rPr>
        <w:t xml:space="preserve"> </w:t>
      </w:r>
    </w:p>
    <w:p w14:paraId="5A95059A" w14:textId="77777777" w:rsidR="00543AB7" w:rsidRDefault="00543AB7" w:rsidP="005A344D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Agricultural Easements</w:t>
      </w:r>
    </w:p>
    <w:p w14:paraId="2204DA5C" w14:textId="77777777" w:rsidR="00543AB7" w:rsidRDefault="00543AB7" w:rsidP="00543AB7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RLP</w:t>
      </w:r>
    </w:p>
    <w:p w14:paraId="2F39C71A" w14:textId="77777777" w:rsidR="00543AB7" w:rsidRDefault="00543AB7" w:rsidP="00543AB7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MET</w:t>
      </w:r>
    </w:p>
    <w:p w14:paraId="5697F574" w14:textId="77777777" w:rsidR="00543AB7" w:rsidRDefault="00543AB7" w:rsidP="00543AB7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MALPF</w:t>
      </w:r>
    </w:p>
    <w:p w14:paraId="1EB04825" w14:textId="77777777" w:rsidR="00543AB7" w:rsidRDefault="00543AB7" w:rsidP="00543AB7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AEP</w:t>
      </w:r>
    </w:p>
    <w:p w14:paraId="6BCC8795" w14:textId="77777777" w:rsidR="007551DF" w:rsidRPr="005A344D" w:rsidRDefault="007551DF" w:rsidP="00543AB7">
      <w:pPr>
        <w:pStyle w:val="ListParagraph"/>
        <w:numPr>
          <w:ilvl w:val="1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BLT (Building Lot Termination)</w:t>
      </w:r>
    </w:p>
    <w:p w14:paraId="207A5EA9" w14:textId="77777777" w:rsidR="00645DFD" w:rsidRDefault="00645DFD" w:rsidP="008B51F2">
      <w:pPr>
        <w:spacing w:after="0" w:line="240" w:lineRule="auto"/>
        <w:rPr>
          <w:sz w:val="24"/>
          <w:szCs w:val="24"/>
        </w:rPr>
      </w:pPr>
    </w:p>
    <w:p w14:paraId="118E32DE" w14:textId="77777777" w:rsidR="003507E4" w:rsidRPr="003507E4" w:rsidRDefault="003507E4" w:rsidP="003507E4">
      <w:pPr>
        <w:pStyle w:val="ListParagraph"/>
        <w:numPr>
          <w:ilvl w:val="0"/>
          <w:numId w:val="5"/>
        </w:numPr>
        <w:spacing w:after="0" w:line="240" w:lineRule="auto"/>
        <w:ind w:left="540"/>
        <w:rPr>
          <w:b/>
          <w:sz w:val="24"/>
          <w:szCs w:val="24"/>
        </w:rPr>
      </w:pPr>
      <w:r w:rsidRPr="003507E4">
        <w:rPr>
          <w:b/>
          <w:sz w:val="24"/>
          <w:szCs w:val="24"/>
        </w:rPr>
        <w:t>Already Developed</w:t>
      </w:r>
      <w:r w:rsidR="002A5D1D" w:rsidRPr="003507E4">
        <w:rPr>
          <w:b/>
          <w:sz w:val="24"/>
          <w:szCs w:val="24"/>
        </w:rPr>
        <w:t xml:space="preserve"> Land in Agricultural Areas </w:t>
      </w:r>
    </w:p>
    <w:p w14:paraId="17422E57" w14:textId="77777777" w:rsidR="00F23DEC" w:rsidRPr="00CA3A23" w:rsidRDefault="00A14E14" w:rsidP="00126FBD">
      <w:pPr>
        <w:spacing w:after="0" w:line="240" w:lineRule="auto"/>
        <w:ind w:left="540"/>
        <w:rPr>
          <w:sz w:val="24"/>
          <w:szCs w:val="24"/>
        </w:rPr>
      </w:pPr>
      <w:r>
        <w:rPr>
          <w:sz w:val="24"/>
          <w:szCs w:val="24"/>
        </w:rPr>
        <w:t>(</w:t>
      </w:r>
      <w:r w:rsidR="00543AB7" w:rsidRPr="00CA3A23">
        <w:rPr>
          <w:sz w:val="24"/>
          <w:szCs w:val="24"/>
        </w:rPr>
        <w:t xml:space="preserve">This includes </w:t>
      </w:r>
      <w:r w:rsidR="00A864CE">
        <w:rPr>
          <w:sz w:val="24"/>
          <w:szCs w:val="24"/>
        </w:rPr>
        <w:t>properties</w:t>
      </w:r>
      <w:r w:rsidR="00B009A3" w:rsidRPr="00CA3A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that are </w:t>
      </w:r>
      <w:r w:rsidR="00B009A3" w:rsidRPr="00CA3A23">
        <w:rPr>
          <w:sz w:val="24"/>
          <w:szCs w:val="24"/>
        </w:rPr>
        <w:t xml:space="preserve">already developed in </w:t>
      </w:r>
      <w:r w:rsidR="00543AB7" w:rsidRPr="00CA3A23">
        <w:rPr>
          <w:sz w:val="24"/>
          <w:szCs w:val="24"/>
        </w:rPr>
        <w:t xml:space="preserve">the </w:t>
      </w:r>
      <w:r w:rsidR="003507E4" w:rsidRPr="00CA3A23">
        <w:rPr>
          <w:sz w:val="24"/>
          <w:szCs w:val="24"/>
        </w:rPr>
        <w:t xml:space="preserve">AR, RC, RNC, and R </w:t>
      </w:r>
      <w:r w:rsidR="00543AB7" w:rsidRPr="00CA3A23">
        <w:rPr>
          <w:sz w:val="24"/>
          <w:szCs w:val="24"/>
        </w:rPr>
        <w:t>agricultural z</w:t>
      </w:r>
      <w:r w:rsidR="00B009A3" w:rsidRPr="00CA3A23">
        <w:rPr>
          <w:sz w:val="24"/>
          <w:szCs w:val="24"/>
        </w:rPr>
        <w:t>ones</w:t>
      </w:r>
      <w:r w:rsidR="00543AB7" w:rsidRPr="00CA3A23">
        <w:rPr>
          <w:sz w:val="24"/>
          <w:szCs w:val="24"/>
        </w:rPr>
        <w:t>.</w:t>
      </w:r>
      <w:r w:rsidR="00422006">
        <w:rPr>
          <w:sz w:val="24"/>
          <w:szCs w:val="24"/>
        </w:rPr>
        <w:t xml:space="preserve">  </w:t>
      </w:r>
      <w:r w:rsidR="00460F68" w:rsidRPr="00CA3A23">
        <w:rPr>
          <w:sz w:val="24"/>
          <w:szCs w:val="24"/>
        </w:rPr>
        <w:t xml:space="preserve">Developed </w:t>
      </w:r>
      <w:r w:rsidR="00514351">
        <w:rPr>
          <w:sz w:val="24"/>
          <w:szCs w:val="24"/>
        </w:rPr>
        <w:t>properties</w:t>
      </w:r>
      <w:r w:rsidR="00573DC2" w:rsidRPr="00CA3A23">
        <w:rPr>
          <w:sz w:val="24"/>
          <w:szCs w:val="24"/>
        </w:rPr>
        <w:t xml:space="preserve"> </w:t>
      </w:r>
      <w:r w:rsidR="00B009A3" w:rsidRPr="00CA3A23">
        <w:rPr>
          <w:sz w:val="24"/>
          <w:szCs w:val="24"/>
        </w:rPr>
        <w:t xml:space="preserve">were </w:t>
      </w:r>
      <w:r>
        <w:rPr>
          <w:sz w:val="24"/>
          <w:szCs w:val="24"/>
        </w:rPr>
        <w:t>determined by identifying</w:t>
      </w:r>
      <w:r w:rsidR="00573DC2" w:rsidRPr="00CA3A23">
        <w:rPr>
          <w:sz w:val="24"/>
          <w:szCs w:val="24"/>
        </w:rPr>
        <w:t xml:space="preserve"> </w:t>
      </w:r>
      <w:r w:rsidR="00460F68" w:rsidRPr="00CA3A23">
        <w:rPr>
          <w:sz w:val="24"/>
          <w:szCs w:val="24"/>
        </w:rPr>
        <w:t>those</w:t>
      </w:r>
      <w:r w:rsidR="00573DC2" w:rsidRPr="00CA3A23">
        <w:rPr>
          <w:sz w:val="24"/>
          <w:szCs w:val="24"/>
        </w:rPr>
        <w:t xml:space="preserve"> that have </w:t>
      </w:r>
      <w:r w:rsidR="00126FBD" w:rsidRPr="00CA3A23">
        <w:rPr>
          <w:sz w:val="24"/>
          <w:szCs w:val="24"/>
        </w:rPr>
        <w:t xml:space="preserve">a </w:t>
      </w:r>
      <w:r w:rsidR="00573DC2" w:rsidRPr="00CA3A23">
        <w:rPr>
          <w:sz w:val="24"/>
          <w:szCs w:val="24"/>
        </w:rPr>
        <w:t>plat that ha</w:t>
      </w:r>
      <w:r w:rsidR="00460F68" w:rsidRPr="00CA3A23">
        <w:rPr>
          <w:sz w:val="24"/>
          <w:szCs w:val="24"/>
        </w:rPr>
        <w:t>s</w:t>
      </w:r>
      <w:r w:rsidR="00573DC2" w:rsidRPr="00CA3A23">
        <w:rPr>
          <w:sz w:val="24"/>
          <w:szCs w:val="24"/>
        </w:rPr>
        <w:t xml:space="preserve"> a preliminary or pre-preliminary </w:t>
      </w:r>
      <w:r w:rsidR="00126FBD" w:rsidRPr="00CA3A23">
        <w:rPr>
          <w:sz w:val="24"/>
          <w:szCs w:val="24"/>
        </w:rPr>
        <w:t>plan associated with it.</w:t>
      </w:r>
      <w:r w:rsidR="00514351">
        <w:rPr>
          <w:sz w:val="24"/>
          <w:szCs w:val="24"/>
        </w:rPr>
        <w:t xml:space="preserve">  These properties are included in this mapping exercise because they typically have significant remaining open space that is no longer developable.</w:t>
      </w:r>
      <w:r w:rsidR="007551DF">
        <w:rPr>
          <w:sz w:val="24"/>
          <w:szCs w:val="24"/>
        </w:rPr>
        <w:t xml:space="preserve">  For example, in the AR zone remaining agricultural land is preserved under TDR easements, in the RC and RNC zones land is preserved under cluster zone easements.  Similarly, a significant amount of agricultural land is </w:t>
      </w:r>
      <w:r w:rsidR="00842F23">
        <w:rPr>
          <w:sz w:val="24"/>
          <w:szCs w:val="24"/>
        </w:rPr>
        <w:t xml:space="preserve">typically </w:t>
      </w:r>
      <w:r w:rsidR="007551DF">
        <w:rPr>
          <w:sz w:val="24"/>
          <w:szCs w:val="24"/>
        </w:rPr>
        <w:t>preserved when R zone properties develop.</w:t>
      </w:r>
      <w:r>
        <w:rPr>
          <w:sz w:val="24"/>
          <w:szCs w:val="24"/>
        </w:rPr>
        <w:t>)</w:t>
      </w:r>
    </w:p>
    <w:p w14:paraId="60F88237" w14:textId="77777777" w:rsidR="00F23DEC" w:rsidRDefault="00F23DEC" w:rsidP="008B51F2">
      <w:pPr>
        <w:spacing w:after="0" w:line="240" w:lineRule="auto"/>
        <w:rPr>
          <w:sz w:val="24"/>
          <w:szCs w:val="24"/>
        </w:rPr>
      </w:pPr>
    </w:p>
    <w:sectPr w:rsidR="00F23DE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8B68C" w14:textId="77777777" w:rsidR="001770F0" w:rsidRDefault="001770F0" w:rsidP="00126FBD">
      <w:pPr>
        <w:spacing w:after="0" w:line="240" w:lineRule="auto"/>
      </w:pPr>
      <w:r>
        <w:separator/>
      </w:r>
    </w:p>
  </w:endnote>
  <w:endnote w:type="continuationSeparator" w:id="0">
    <w:p w14:paraId="1BB38B99" w14:textId="77777777" w:rsidR="001770F0" w:rsidRDefault="001770F0" w:rsidP="00126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71048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D955F6" w14:textId="77777777" w:rsidR="001770F0" w:rsidRDefault="001770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0F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C3A8B1" w14:textId="77777777" w:rsidR="001770F0" w:rsidRDefault="001770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8642D" w14:textId="77777777" w:rsidR="001770F0" w:rsidRDefault="001770F0" w:rsidP="00126FBD">
      <w:pPr>
        <w:spacing w:after="0" w:line="240" w:lineRule="auto"/>
      </w:pPr>
      <w:r>
        <w:separator/>
      </w:r>
    </w:p>
  </w:footnote>
  <w:footnote w:type="continuationSeparator" w:id="0">
    <w:p w14:paraId="45762BF8" w14:textId="77777777" w:rsidR="001770F0" w:rsidRDefault="001770F0" w:rsidP="00126F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47C0C"/>
    <w:multiLevelType w:val="hybridMultilevel"/>
    <w:tmpl w:val="F0C2D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32BE7"/>
    <w:multiLevelType w:val="hybridMultilevel"/>
    <w:tmpl w:val="DEA290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F7CAA"/>
    <w:multiLevelType w:val="hybridMultilevel"/>
    <w:tmpl w:val="CECAA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E5ADE"/>
    <w:multiLevelType w:val="hybridMultilevel"/>
    <w:tmpl w:val="A83231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612322"/>
    <w:multiLevelType w:val="hybridMultilevel"/>
    <w:tmpl w:val="348643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2"/>
    <w:rsid w:val="00007F4D"/>
    <w:rsid w:val="00120201"/>
    <w:rsid w:val="00126FBD"/>
    <w:rsid w:val="0014169F"/>
    <w:rsid w:val="00156E23"/>
    <w:rsid w:val="001770F0"/>
    <w:rsid w:val="00193338"/>
    <w:rsid w:val="001A4819"/>
    <w:rsid w:val="00206316"/>
    <w:rsid w:val="002304C0"/>
    <w:rsid w:val="00284EB4"/>
    <w:rsid w:val="0029558D"/>
    <w:rsid w:val="002A5D1D"/>
    <w:rsid w:val="00304A9E"/>
    <w:rsid w:val="003507E4"/>
    <w:rsid w:val="00357C0A"/>
    <w:rsid w:val="00364FAC"/>
    <w:rsid w:val="003B1441"/>
    <w:rsid w:val="003F1138"/>
    <w:rsid w:val="00400A2E"/>
    <w:rsid w:val="00422006"/>
    <w:rsid w:val="00460F68"/>
    <w:rsid w:val="00486B30"/>
    <w:rsid w:val="004B3E57"/>
    <w:rsid w:val="00500979"/>
    <w:rsid w:val="00514351"/>
    <w:rsid w:val="00531C22"/>
    <w:rsid w:val="00543AB7"/>
    <w:rsid w:val="00573DC2"/>
    <w:rsid w:val="0058389B"/>
    <w:rsid w:val="005A344D"/>
    <w:rsid w:val="00622BF4"/>
    <w:rsid w:val="00645DFD"/>
    <w:rsid w:val="006C51BE"/>
    <w:rsid w:val="00733432"/>
    <w:rsid w:val="007410D8"/>
    <w:rsid w:val="007551DF"/>
    <w:rsid w:val="00760262"/>
    <w:rsid w:val="00766A24"/>
    <w:rsid w:val="00796335"/>
    <w:rsid w:val="007C046A"/>
    <w:rsid w:val="008102CC"/>
    <w:rsid w:val="00814C79"/>
    <w:rsid w:val="00842F23"/>
    <w:rsid w:val="0085139C"/>
    <w:rsid w:val="008B51F2"/>
    <w:rsid w:val="009875B5"/>
    <w:rsid w:val="00A14E14"/>
    <w:rsid w:val="00A813DA"/>
    <w:rsid w:val="00A864CE"/>
    <w:rsid w:val="00B009A3"/>
    <w:rsid w:val="00B11549"/>
    <w:rsid w:val="00C14C96"/>
    <w:rsid w:val="00C966C8"/>
    <w:rsid w:val="00CA3A23"/>
    <w:rsid w:val="00D63A2D"/>
    <w:rsid w:val="00DA6C9B"/>
    <w:rsid w:val="00DF5B51"/>
    <w:rsid w:val="00E10502"/>
    <w:rsid w:val="00EC0625"/>
    <w:rsid w:val="00ED148C"/>
    <w:rsid w:val="00F1779D"/>
    <w:rsid w:val="00F23DEC"/>
    <w:rsid w:val="00F8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9FA26"/>
  <w15:chartTrackingRefBased/>
  <w15:docId w15:val="{F453F8C3-EB94-4801-BEF7-626C02928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D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1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44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26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FBD"/>
  </w:style>
  <w:style w:type="paragraph" w:styleId="Footer">
    <w:name w:val="footer"/>
    <w:basedOn w:val="Normal"/>
    <w:link w:val="FooterChar"/>
    <w:uiPriority w:val="99"/>
    <w:unhideWhenUsed/>
    <w:rsid w:val="00126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Symborski, Mark</dc:creator>
  <cp:keywords/>
  <dc:description/>
  <cp:lastModifiedBy>Symborski, Mark</cp:lastModifiedBy>
  <cp:revision>5</cp:revision>
  <cp:lastPrinted>2018-08-17T16:20:00Z</cp:lastPrinted>
  <dcterms:created xsi:type="dcterms:W3CDTF">2019-08-21T20:37:00Z</dcterms:created>
  <dcterms:modified xsi:type="dcterms:W3CDTF">2019-08-21T21:23:00Z</dcterms:modified>
</cp:coreProperties>
</file>